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6649" w14:textId="2E373AF8" w:rsidR="008F7A39" w:rsidRPr="00A71BDE" w:rsidRDefault="00B041D5" w:rsidP="00D83152">
      <w:pPr>
        <w:rPr>
          <w:rFonts w:cstheme="minorHAnsi"/>
          <w:b/>
          <w:color w:val="0070C0"/>
          <w:sz w:val="24"/>
        </w:rPr>
      </w:pPr>
      <w:r w:rsidRPr="000705CD">
        <w:rPr>
          <w:b/>
          <w:color w:val="0070C0"/>
          <w:sz w:val="24"/>
        </w:rPr>
        <w:t xml:space="preserve">What is </w:t>
      </w:r>
      <w:proofErr w:type="spellStart"/>
      <w:r w:rsidR="005F0882">
        <w:rPr>
          <w:b/>
          <w:color w:val="0070C0"/>
          <w:sz w:val="24"/>
        </w:rPr>
        <w:t>Sapropterin</w:t>
      </w:r>
      <w:proofErr w:type="spellEnd"/>
      <w:r w:rsidR="008F7A39" w:rsidRPr="000705CD">
        <w:rPr>
          <w:b/>
          <w:color w:val="0070C0"/>
          <w:sz w:val="24"/>
        </w:rPr>
        <w:t>?</w:t>
      </w:r>
    </w:p>
    <w:p w14:paraId="4C60B61E" w14:textId="52969F64" w:rsidR="00B041D5" w:rsidRPr="00A71BDE" w:rsidRDefault="005F0882" w:rsidP="006252C0">
      <w:pPr>
        <w:autoSpaceDE w:val="0"/>
        <w:autoSpaceDN w:val="0"/>
        <w:adjustRightInd w:val="0"/>
        <w:rPr>
          <w:rFonts w:cstheme="minorHAnsi"/>
        </w:rPr>
      </w:pPr>
      <w:proofErr w:type="spellStart"/>
      <w:r>
        <w:rPr>
          <w:rFonts w:cstheme="minorHAnsi"/>
        </w:rPr>
        <w:t>Sapropterin</w:t>
      </w:r>
      <w:proofErr w:type="spellEnd"/>
      <w:r w:rsidR="00340430" w:rsidRPr="00A71BDE">
        <w:rPr>
          <w:rFonts w:cstheme="minorHAnsi"/>
        </w:rPr>
        <w:t xml:space="preserve"> is the only</w:t>
      </w:r>
      <w:r w:rsidR="007A6F4E" w:rsidRPr="00A71BDE">
        <w:rPr>
          <w:rFonts w:cstheme="minorHAnsi"/>
        </w:rPr>
        <w:t xml:space="preserve"> Australian approved</w:t>
      </w:r>
      <w:r w:rsidR="00340430" w:rsidRPr="00A71BDE">
        <w:rPr>
          <w:rFonts w:cstheme="minorHAnsi"/>
        </w:rPr>
        <w:t xml:space="preserve"> non-dietary treatment for PKU, which works for</w:t>
      </w:r>
      <w:r w:rsidR="008F7A39" w:rsidRPr="00A71BDE">
        <w:rPr>
          <w:rFonts w:cstheme="minorHAnsi"/>
        </w:rPr>
        <w:t xml:space="preserve"> approximately </w:t>
      </w:r>
      <w:r w:rsidR="00340430" w:rsidRPr="00A71BDE">
        <w:rPr>
          <w:rFonts w:cstheme="minorHAnsi"/>
          <w:b/>
        </w:rPr>
        <w:t xml:space="preserve">30%-50% </w:t>
      </w:r>
      <w:r w:rsidR="00340430" w:rsidRPr="00A71BDE">
        <w:rPr>
          <w:rFonts w:cstheme="minorHAnsi"/>
        </w:rPr>
        <w:t xml:space="preserve">of people with PKU. </w:t>
      </w:r>
    </w:p>
    <w:p w14:paraId="35376E32" w14:textId="564AE3C7" w:rsidR="00D83152" w:rsidRPr="00A71BDE" w:rsidRDefault="005F0882" w:rsidP="006252C0">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Sapropterin</w:t>
      </w:r>
      <w:proofErr w:type="spellEnd"/>
      <w:r w:rsidR="00D83152" w:rsidRPr="00A71BDE">
        <w:rPr>
          <w:rFonts w:asciiTheme="minorHAnsi" w:hAnsiTheme="minorHAnsi" w:cstheme="minorHAnsi"/>
          <w:color w:val="auto"/>
          <w:sz w:val="22"/>
          <w:szCs w:val="22"/>
        </w:rPr>
        <w:t xml:space="preserve"> is a medicine that, in responsive PKU patients, reduces blood </w:t>
      </w:r>
      <w:proofErr w:type="spellStart"/>
      <w:r w:rsidR="00D83152" w:rsidRPr="00A71BDE">
        <w:rPr>
          <w:rFonts w:asciiTheme="minorHAnsi" w:hAnsiTheme="minorHAnsi" w:cstheme="minorHAnsi"/>
          <w:color w:val="auto"/>
          <w:sz w:val="22"/>
          <w:szCs w:val="22"/>
        </w:rPr>
        <w:t>phe</w:t>
      </w:r>
      <w:proofErr w:type="spellEnd"/>
      <w:r w:rsidR="00D83152" w:rsidRPr="00A71BDE">
        <w:rPr>
          <w:rFonts w:asciiTheme="minorHAnsi" w:hAnsiTheme="minorHAnsi" w:cstheme="minorHAnsi"/>
          <w:color w:val="auto"/>
          <w:sz w:val="22"/>
          <w:szCs w:val="22"/>
        </w:rPr>
        <w:t xml:space="preserve"> levels. This has two impacts from a patient perspective: </w:t>
      </w:r>
    </w:p>
    <w:p w14:paraId="2A8B5114" w14:textId="77777777" w:rsidR="008F7A39" w:rsidRPr="00A71BDE" w:rsidRDefault="008F7A39" w:rsidP="00D83152">
      <w:pPr>
        <w:pStyle w:val="Default"/>
        <w:rPr>
          <w:rFonts w:asciiTheme="minorHAnsi" w:hAnsiTheme="minorHAnsi" w:cstheme="minorHAnsi"/>
          <w:color w:val="auto"/>
          <w:sz w:val="22"/>
          <w:szCs w:val="22"/>
        </w:rPr>
      </w:pPr>
    </w:p>
    <w:p w14:paraId="3DB228BC" w14:textId="77777777" w:rsidR="006252C0" w:rsidRPr="00A71BDE" w:rsidRDefault="00D83152" w:rsidP="006252C0">
      <w:pPr>
        <w:pStyle w:val="Default"/>
        <w:numPr>
          <w:ilvl w:val="0"/>
          <w:numId w:val="29"/>
        </w:numPr>
        <w:spacing w:after="14"/>
        <w:rPr>
          <w:rFonts w:asciiTheme="minorHAnsi" w:hAnsiTheme="minorHAnsi" w:cstheme="minorHAnsi"/>
          <w:color w:val="auto"/>
          <w:sz w:val="22"/>
          <w:szCs w:val="22"/>
        </w:rPr>
      </w:pPr>
      <w:r w:rsidRPr="00A71BDE">
        <w:rPr>
          <w:rFonts w:asciiTheme="minorHAnsi" w:hAnsiTheme="minorHAnsi" w:cstheme="minorHAnsi"/>
          <w:color w:val="auto"/>
          <w:sz w:val="22"/>
          <w:szCs w:val="22"/>
        </w:rPr>
        <w:t xml:space="preserve">Helps to keep </w:t>
      </w:r>
      <w:proofErr w:type="spellStart"/>
      <w:r w:rsidRPr="00A71BDE">
        <w:rPr>
          <w:rFonts w:asciiTheme="minorHAnsi" w:hAnsiTheme="minorHAnsi" w:cstheme="minorHAnsi"/>
          <w:color w:val="auto"/>
          <w:sz w:val="22"/>
          <w:szCs w:val="22"/>
        </w:rPr>
        <w:t>phe</w:t>
      </w:r>
      <w:proofErr w:type="spellEnd"/>
      <w:r w:rsidRPr="00A71BDE">
        <w:rPr>
          <w:rFonts w:asciiTheme="minorHAnsi" w:hAnsiTheme="minorHAnsi" w:cstheme="minorHAnsi"/>
          <w:color w:val="auto"/>
          <w:sz w:val="22"/>
          <w:szCs w:val="22"/>
        </w:rPr>
        <w:t xml:space="preserve"> level within a safe range and protect the brain from both reversibl</w:t>
      </w:r>
      <w:r w:rsidR="008F7A39" w:rsidRPr="00A71BDE">
        <w:rPr>
          <w:rFonts w:asciiTheme="minorHAnsi" w:hAnsiTheme="minorHAnsi" w:cstheme="minorHAnsi"/>
          <w:color w:val="auto"/>
          <w:sz w:val="22"/>
          <w:szCs w:val="22"/>
        </w:rPr>
        <w:t xml:space="preserve">e and irreversible brain damage. </w:t>
      </w:r>
    </w:p>
    <w:p w14:paraId="76D17E2C" w14:textId="77777777" w:rsidR="006252C0" w:rsidRPr="00A71BDE" w:rsidRDefault="00D83152" w:rsidP="006252C0">
      <w:pPr>
        <w:pStyle w:val="Default"/>
        <w:numPr>
          <w:ilvl w:val="0"/>
          <w:numId w:val="29"/>
        </w:numPr>
        <w:spacing w:after="14"/>
        <w:rPr>
          <w:rFonts w:asciiTheme="minorHAnsi" w:hAnsiTheme="minorHAnsi" w:cstheme="minorHAnsi"/>
          <w:color w:val="auto"/>
          <w:sz w:val="22"/>
          <w:szCs w:val="22"/>
        </w:rPr>
      </w:pPr>
      <w:r w:rsidRPr="00A71BDE">
        <w:rPr>
          <w:rFonts w:asciiTheme="minorHAnsi" w:hAnsiTheme="minorHAnsi" w:cstheme="minorHAnsi"/>
          <w:color w:val="auto"/>
          <w:sz w:val="22"/>
          <w:szCs w:val="22"/>
        </w:rPr>
        <w:t>Increases protein tolerance meaning the op</w:t>
      </w:r>
      <w:r w:rsidR="00C7071F" w:rsidRPr="00A71BDE">
        <w:rPr>
          <w:rFonts w:asciiTheme="minorHAnsi" w:hAnsiTheme="minorHAnsi" w:cstheme="minorHAnsi"/>
          <w:color w:val="auto"/>
          <w:sz w:val="22"/>
          <w:szCs w:val="22"/>
        </w:rPr>
        <w:t>portunity for a h</w:t>
      </w:r>
      <w:r w:rsidR="006252C0" w:rsidRPr="00A71BDE">
        <w:rPr>
          <w:rFonts w:asciiTheme="minorHAnsi" w:hAnsiTheme="minorHAnsi" w:cstheme="minorHAnsi"/>
          <w:color w:val="auto"/>
          <w:sz w:val="22"/>
          <w:szCs w:val="22"/>
        </w:rPr>
        <w:t>e</w:t>
      </w:r>
      <w:r w:rsidR="00C7071F" w:rsidRPr="00A71BDE">
        <w:rPr>
          <w:rFonts w:asciiTheme="minorHAnsi" w:hAnsiTheme="minorHAnsi" w:cstheme="minorHAnsi"/>
          <w:color w:val="auto"/>
          <w:sz w:val="22"/>
          <w:szCs w:val="22"/>
        </w:rPr>
        <w:t>althier, more b</w:t>
      </w:r>
      <w:r w:rsidRPr="00A71BDE">
        <w:rPr>
          <w:rFonts w:asciiTheme="minorHAnsi" w:hAnsiTheme="minorHAnsi" w:cstheme="minorHAnsi"/>
          <w:color w:val="auto"/>
          <w:sz w:val="22"/>
          <w:szCs w:val="22"/>
        </w:rPr>
        <w:t xml:space="preserve">alanced and easier to manage treatment regime. </w:t>
      </w:r>
    </w:p>
    <w:p w14:paraId="5DE261EE" w14:textId="77777777" w:rsidR="00E67AD3" w:rsidRPr="00A71BDE" w:rsidRDefault="00E67AD3" w:rsidP="00E67AD3">
      <w:pPr>
        <w:pStyle w:val="Default"/>
        <w:spacing w:after="14"/>
        <w:rPr>
          <w:rFonts w:asciiTheme="minorHAnsi" w:hAnsiTheme="minorHAnsi" w:cstheme="minorHAnsi"/>
          <w:color w:val="auto"/>
          <w:sz w:val="22"/>
          <w:szCs w:val="22"/>
        </w:rPr>
      </w:pPr>
    </w:p>
    <w:p w14:paraId="50D3E2B8" w14:textId="6C8FE2E3" w:rsidR="00B041D5" w:rsidRPr="00A71BDE" w:rsidRDefault="005F0882" w:rsidP="00E67AD3">
      <w:pPr>
        <w:pStyle w:val="Default"/>
        <w:spacing w:after="14"/>
        <w:rPr>
          <w:rFonts w:asciiTheme="minorHAnsi" w:hAnsiTheme="minorHAnsi" w:cstheme="minorHAnsi"/>
          <w:color w:val="auto"/>
          <w:sz w:val="22"/>
          <w:szCs w:val="22"/>
        </w:rPr>
      </w:pPr>
      <w:proofErr w:type="spellStart"/>
      <w:r>
        <w:rPr>
          <w:rFonts w:asciiTheme="minorHAnsi" w:hAnsiTheme="minorHAnsi" w:cstheme="minorHAnsi"/>
          <w:color w:val="auto"/>
          <w:sz w:val="22"/>
          <w:szCs w:val="22"/>
        </w:rPr>
        <w:t>Sapropterin</w:t>
      </w:r>
      <w:proofErr w:type="spellEnd"/>
      <w:r w:rsidR="00F570E5" w:rsidRPr="00A71BDE">
        <w:rPr>
          <w:rFonts w:asciiTheme="minorHAnsi" w:hAnsiTheme="minorHAnsi" w:cstheme="minorHAnsi"/>
          <w:color w:val="auto"/>
          <w:sz w:val="22"/>
          <w:szCs w:val="22"/>
        </w:rPr>
        <w:t xml:space="preserve"> does not eliminate the need for ongoing dietary management</w:t>
      </w:r>
      <w:r w:rsidR="00C7071F" w:rsidRPr="00A71BDE">
        <w:rPr>
          <w:rFonts w:asciiTheme="minorHAnsi" w:hAnsiTheme="minorHAnsi" w:cstheme="minorHAnsi"/>
          <w:color w:val="auto"/>
          <w:sz w:val="22"/>
          <w:szCs w:val="22"/>
        </w:rPr>
        <w:t>.</w:t>
      </w:r>
      <w:r w:rsidR="00F570E5" w:rsidRPr="00A71BDE">
        <w:rPr>
          <w:rFonts w:asciiTheme="minorHAnsi" w:hAnsiTheme="minorHAnsi" w:cstheme="minorHAnsi"/>
          <w:color w:val="auto"/>
          <w:sz w:val="22"/>
          <w:szCs w:val="22"/>
        </w:rPr>
        <w:t xml:space="preserve"> Your doctor and dietitian will continue to monitor diet and blood </w:t>
      </w:r>
      <w:proofErr w:type="spellStart"/>
      <w:r w:rsidR="00F570E5" w:rsidRPr="00A71BDE">
        <w:rPr>
          <w:rFonts w:asciiTheme="minorHAnsi" w:hAnsiTheme="minorHAnsi" w:cstheme="minorHAnsi"/>
          <w:color w:val="auto"/>
          <w:sz w:val="22"/>
          <w:szCs w:val="22"/>
        </w:rPr>
        <w:t>Phe</w:t>
      </w:r>
      <w:proofErr w:type="spellEnd"/>
      <w:r w:rsidR="00F570E5" w:rsidRPr="00A71BDE">
        <w:rPr>
          <w:rFonts w:asciiTheme="minorHAnsi" w:hAnsiTheme="minorHAnsi" w:cstheme="minorHAnsi"/>
          <w:color w:val="auto"/>
          <w:sz w:val="22"/>
          <w:szCs w:val="22"/>
        </w:rPr>
        <w:t xml:space="preserve"> levels throughout </w:t>
      </w:r>
      <w:r w:rsidR="00800912" w:rsidRPr="00A71BDE">
        <w:rPr>
          <w:rFonts w:asciiTheme="minorHAnsi" w:hAnsiTheme="minorHAnsi" w:cstheme="minorHAnsi"/>
          <w:color w:val="auto"/>
          <w:sz w:val="22"/>
          <w:szCs w:val="22"/>
        </w:rPr>
        <w:t xml:space="preserve">your child’s </w:t>
      </w:r>
      <w:r w:rsidR="00F570E5" w:rsidRPr="00A71BDE">
        <w:rPr>
          <w:rFonts w:asciiTheme="minorHAnsi" w:hAnsiTheme="minorHAnsi" w:cstheme="minorHAnsi"/>
          <w:color w:val="auto"/>
          <w:sz w:val="22"/>
          <w:szCs w:val="22"/>
        </w:rPr>
        <w:t>treatment</w:t>
      </w:r>
      <w:r w:rsidR="00B041D5" w:rsidRPr="00A71BDE">
        <w:rPr>
          <w:rFonts w:asciiTheme="minorHAnsi" w:hAnsiTheme="minorHAnsi" w:cstheme="minorHAnsi"/>
          <w:color w:val="auto"/>
          <w:sz w:val="22"/>
          <w:szCs w:val="22"/>
        </w:rPr>
        <w:t>.</w:t>
      </w:r>
      <w:r w:rsidR="00F570E5" w:rsidRPr="00A71BDE">
        <w:rPr>
          <w:rFonts w:asciiTheme="minorHAnsi" w:hAnsiTheme="minorHAnsi" w:cstheme="minorHAnsi"/>
          <w:color w:val="auto"/>
          <w:sz w:val="22"/>
          <w:szCs w:val="22"/>
        </w:rPr>
        <w:t xml:space="preserve"> </w:t>
      </w:r>
    </w:p>
    <w:p w14:paraId="6BAD7EF6" w14:textId="77777777" w:rsidR="00B041D5" w:rsidRPr="00A71BDE" w:rsidRDefault="00B041D5" w:rsidP="00B041D5">
      <w:pPr>
        <w:pStyle w:val="ListParagraph"/>
        <w:rPr>
          <w:rFonts w:eastAsiaTheme="minorHAnsi" w:cstheme="minorHAnsi"/>
          <w:sz w:val="22"/>
          <w:szCs w:val="22"/>
        </w:rPr>
      </w:pPr>
    </w:p>
    <w:p w14:paraId="79ECA690" w14:textId="4BD58DC7" w:rsidR="000652F1" w:rsidRPr="00A71BDE" w:rsidRDefault="00F570E5" w:rsidP="00B041D5">
      <w:pPr>
        <w:rPr>
          <w:rFonts w:cstheme="minorHAnsi"/>
          <w:b/>
          <w:color w:val="0070C0"/>
          <w:sz w:val="24"/>
        </w:rPr>
      </w:pPr>
      <w:r w:rsidRPr="00A71BDE">
        <w:rPr>
          <w:rFonts w:cstheme="minorHAnsi"/>
          <w:b/>
          <w:color w:val="0070C0"/>
          <w:sz w:val="24"/>
        </w:rPr>
        <w:t xml:space="preserve">What are the ingredients in </w:t>
      </w:r>
      <w:proofErr w:type="spellStart"/>
      <w:r w:rsidR="005F0882">
        <w:rPr>
          <w:rFonts w:cstheme="minorHAnsi"/>
          <w:b/>
          <w:color w:val="0070C0"/>
          <w:sz w:val="24"/>
        </w:rPr>
        <w:t>Sapropterin</w:t>
      </w:r>
      <w:proofErr w:type="spellEnd"/>
      <w:r w:rsidRPr="00A71BDE">
        <w:rPr>
          <w:rFonts w:cstheme="minorHAnsi"/>
          <w:b/>
          <w:color w:val="0070C0"/>
          <w:sz w:val="24"/>
        </w:rPr>
        <w:t xml:space="preserve">? </w:t>
      </w:r>
    </w:p>
    <w:p w14:paraId="06BEE49E" w14:textId="77777777" w:rsidR="00911BB9" w:rsidRPr="00A71BDE" w:rsidRDefault="00F570E5">
      <w:pPr>
        <w:rPr>
          <w:rFonts w:cstheme="minorHAnsi"/>
        </w:rPr>
      </w:pPr>
      <w:r w:rsidRPr="00A71BDE">
        <w:rPr>
          <w:rFonts w:cstheme="minorHAnsi"/>
        </w:rPr>
        <w:t>Active ingredie</w:t>
      </w:r>
      <w:r w:rsidR="00B041D5" w:rsidRPr="00A71BDE">
        <w:rPr>
          <w:rFonts w:cstheme="minorHAnsi"/>
        </w:rPr>
        <w:t xml:space="preserve">nt: </w:t>
      </w:r>
      <w:proofErr w:type="spellStart"/>
      <w:r w:rsidR="000705CD" w:rsidRPr="00A71BDE">
        <w:rPr>
          <w:rFonts w:cstheme="minorHAnsi"/>
        </w:rPr>
        <w:t>S</w:t>
      </w:r>
      <w:r w:rsidR="00B041D5" w:rsidRPr="00A71BDE">
        <w:rPr>
          <w:rFonts w:cstheme="minorHAnsi"/>
        </w:rPr>
        <w:t>apropterin</w:t>
      </w:r>
      <w:proofErr w:type="spellEnd"/>
      <w:r w:rsidR="00B041D5" w:rsidRPr="00A71BDE">
        <w:rPr>
          <w:rFonts w:cstheme="minorHAnsi"/>
        </w:rPr>
        <w:t xml:space="preserve"> </w:t>
      </w:r>
      <w:r w:rsidR="00911BB9" w:rsidRPr="00A71BDE">
        <w:rPr>
          <w:rFonts w:cstheme="minorHAnsi"/>
        </w:rPr>
        <w:t>d</w:t>
      </w:r>
      <w:r w:rsidR="00B041D5" w:rsidRPr="00A71BDE">
        <w:rPr>
          <w:rFonts w:cstheme="minorHAnsi"/>
        </w:rPr>
        <w:t>ihydrochloride</w:t>
      </w:r>
      <w:r w:rsidR="006252C0" w:rsidRPr="00A71BDE">
        <w:rPr>
          <w:rFonts w:cstheme="minorHAnsi"/>
        </w:rPr>
        <w:t xml:space="preserve">. </w:t>
      </w:r>
    </w:p>
    <w:p w14:paraId="64553014" w14:textId="5B354E37" w:rsidR="000705CD" w:rsidRPr="00A71BDE" w:rsidRDefault="005F0882">
      <w:pPr>
        <w:rPr>
          <w:rFonts w:cstheme="minorHAnsi"/>
        </w:rPr>
      </w:pPr>
      <w:proofErr w:type="spellStart"/>
      <w:r>
        <w:rPr>
          <w:rFonts w:cstheme="minorHAnsi"/>
        </w:rPr>
        <w:t>Sapropterin</w:t>
      </w:r>
      <w:proofErr w:type="spellEnd"/>
      <w:r w:rsidR="00800912" w:rsidRPr="00A71BDE">
        <w:rPr>
          <w:rFonts w:cstheme="minorHAnsi"/>
        </w:rPr>
        <w:t xml:space="preserve"> </w:t>
      </w:r>
      <w:r w:rsidR="007A6F4E" w:rsidRPr="00A71BDE">
        <w:rPr>
          <w:rFonts w:cstheme="minorHAnsi"/>
        </w:rPr>
        <w:t xml:space="preserve">is currently </w:t>
      </w:r>
      <w:r w:rsidR="00800912" w:rsidRPr="00A71BDE">
        <w:rPr>
          <w:rFonts w:cstheme="minorHAnsi"/>
        </w:rPr>
        <w:t xml:space="preserve">available in tablet </w:t>
      </w:r>
      <w:r w:rsidR="00517D98" w:rsidRPr="00A71BDE">
        <w:rPr>
          <w:rFonts w:cstheme="minorHAnsi"/>
        </w:rPr>
        <w:t>(soluble) form.</w:t>
      </w:r>
    </w:p>
    <w:p w14:paraId="33224F53" w14:textId="5154FFE6" w:rsidR="006252C0" w:rsidRPr="00A71BDE" w:rsidRDefault="006252C0">
      <w:pPr>
        <w:rPr>
          <w:rFonts w:cstheme="minorHAnsi"/>
          <w:b/>
          <w:color w:val="0070C0"/>
          <w:sz w:val="24"/>
        </w:rPr>
      </w:pPr>
      <w:r w:rsidRPr="00A71BDE">
        <w:rPr>
          <w:rFonts w:cstheme="minorHAnsi"/>
          <w:b/>
          <w:color w:val="0070C0"/>
          <w:sz w:val="24"/>
        </w:rPr>
        <w:t xml:space="preserve">Who is eligible for </w:t>
      </w:r>
      <w:proofErr w:type="spellStart"/>
      <w:r w:rsidR="005F0882">
        <w:rPr>
          <w:rFonts w:cstheme="minorHAnsi"/>
          <w:b/>
          <w:color w:val="0070C0"/>
          <w:sz w:val="24"/>
        </w:rPr>
        <w:t>Sapropterin</w:t>
      </w:r>
      <w:proofErr w:type="spellEnd"/>
      <w:r w:rsidRPr="00A71BDE">
        <w:rPr>
          <w:rFonts w:cstheme="minorHAnsi"/>
          <w:b/>
          <w:color w:val="0070C0"/>
          <w:sz w:val="24"/>
        </w:rPr>
        <w:t>?</w:t>
      </w:r>
    </w:p>
    <w:p w14:paraId="4649F7BF" w14:textId="4B3A4903" w:rsidR="006252C0" w:rsidRPr="00A71BDE" w:rsidRDefault="00D0639D">
      <w:pPr>
        <w:rPr>
          <w:rFonts w:cstheme="minorHAnsi"/>
        </w:rPr>
      </w:pPr>
      <w:r w:rsidRPr="00A71BDE">
        <w:rPr>
          <w:rFonts w:cstheme="minorHAnsi"/>
        </w:rPr>
        <w:t xml:space="preserve">Children and adolescents less than 18 years of age who have been shown to respond to </w:t>
      </w:r>
      <w:proofErr w:type="spellStart"/>
      <w:r w:rsidR="005F0882">
        <w:rPr>
          <w:rFonts w:cstheme="minorHAnsi"/>
        </w:rPr>
        <w:t>Sapropterin</w:t>
      </w:r>
      <w:proofErr w:type="spellEnd"/>
      <w:r w:rsidRPr="00A71BDE">
        <w:rPr>
          <w:rFonts w:cstheme="minorHAnsi"/>
        </w:rPr>
        <w:t xml:space="preserve"> will be eligible for the PBS subsidy. This will be tested by your clinic using protocols that have been established through agreement between clinical experts and the PBAC. Those children and adolescents who start taking </w:t>
      </w:r>
      <w:proofErr w:type="spellStart"/>
      <w:r w:rsidR="005F0882">
        <w:rPr>
          <w:rFonts w:cstheme="minorHAnsi"/>
        </w:rPr>
        <w:t>Sapropterin</w:t>
      </w:r>
      <w:proofErr w:type="spellEnd"/>
      <w:r w:rsidRPr="00A71BDE">
        <w:rPr>
          <w:rFonts w:cstheme="minorHAnsi"/>
        </w:rPr>
        <w:t xml:space="preserve"> before the age of 18 will be </w:t>
      </w:r>
      <w:r w:rsidR="00CB24B5" w:rsidRPr="00A71BDE">
        <w:rPr>
          <w:rFonts w:cstheme="minorHAnsi"/>
        </w:rPr>
        <w:t>eligible</w:t>
      </w:r>
      <w:r w:rsidRPr="00A71BDE">
        <w:rPr>
          <w:rFonts w:cstheme="minorHAnsi"/>
        </w:rPr>
        <w:t xml:space="preserve"> to continue </w:t>
      </w:r>
      <w:r w:rsidR="00CB24B5" w:rsidRPr="00A71BDE">
        <w:rPr>
          <w:rFonts w:cstheme="minorHAnsi"/>
        </w:rPr>
        <w:t xml:space="preserve">receiving PBS subsidised </w:t>
      </w:r>
      <w:proofErr w:type="spellStart"/>
      <w:r w:rsidR="005F0882">
        <w:rPr>
          <w:rFonts w:cstheme="minorHAnsi"/>
        </w:rPr>
        <w:t>Sapropterin</w:t>
      </w:r>
      <w:proofErr w:type="spellEnd"/>
      <w:r w:rsidR="00CB24B5" w:rsidRPr="00A71BDE">
        <w:rPr>
          <w:rFonts w:cstheme="minorHAnsi"/>
        </w:rPr>
        <w:t xml:space="preserve"> into adulthood. </w:t>
      </w:r>
    </w:p>
    <w:p w14:paraId="1EB23700" w14:textId="77777777" w:rsidR="00340430" w:rsidRPr="000D0BDD" w:rsidRDefault="00340430">
      <w:pPr>
        <w:rPr>
          <w:rFonts w:cstheme="minorHAnsi"/>
          <w:b/>
          <w:color w:val="0070C0"/>
          <w:sz w:val="24"/>
        </w:rPr>
      </w:pPr>
      <w:r w:rsidRPr="000D0BDD">
        <w:rPr>
          <w:rFonts w:cstheme="minorHAnsi"/>
          <w:b/>
          <w:color w:val="0070C0"/>
          <w:sz w:val="24"/>
        </w:rPr>
        <w:t xml:space="preserve">How </w:t>
      </w:r>
      <w:r w:rsidR="000705CD" w:rsidRPr="000D0BDD">
        <w:rPr>
          <w:rFonts w:cstheme="minorHAnsi"/>
          <w:b/>
          <w:color w:val="0070C0"/>
          <w:sz w:val="24"/>
        </w:rPr>
        <w:t>is responsiveness tested?</w:t>
      </w:r>
    </w:p>
    <w:p w14:paraId="35F4C1F5" w14:textId="674229CB" w:rsidR="00340430" w:rsidRPr="00A71BDE" w:rsidRDefault="00A71BDE">
      <w:pPr>
        <w:rPr>
          <w:rFonts w:cstheme="minorHAnsi"/>
        </w:rPr>
      </w:pPr>
      <w:r w:rsidRPr="000D0BDD">
        <w:rPr>
          <w:rFonts w:cstheme="minorHAnsi"/>
        </w:rPr>
        <w:t xml:space="preserve">Further information will be provided by MDDA and metabolic clinicians in due course as to how </w:t>
      </w:r>
      <w:proofErr w:type="spellStart"/>
      <w:r w:rsidR="005F0882">
        <w:rPr>
          <w:rFonts w:cstheme="minorHAnsi"/>
        </w:rPr>
        <w:t>Sapropterin</w:t>
      </w:r>
      <w:proofErr w:type="spellEnd"/>
      <w:r w:rsidRPr="000D0BDD">
        <w:rPr>
          <w:rFonts w:cstheme="minorHAnsi"/>
        </w:rPr>
        <w:t xml:space="preserve"> responsiveness testing will be conducted. Further details on current testing best practices can be found in the below mentioned BH</w:t>
      </w:r>
      <w:r w:rsidR="000D0BDD">
        <w:rPr>
          <w:rFonts w:cstheme="minorHAnsi"/>
        </w:rPr>
        <w:t>4</w:t>
      </w:r>
      <w:r w:rsidRPr="000D0BDD">
        <w:rPr>
          <w:rFonts w:cstheme="minorHAnsi"/>
        </w:rPr>
        <w:t xml:space="preserve"> guideline </w:t>
      </w:r>
      <w:proofErr w:type="gramStart"/>
      <w:r w:rsidRPr="000D0BDD">
        <w:rPr>
          <w:rFonts w:cstheme="minorHAnsi"/>
        </w:rPr>
        <w:t>document  –</w:t>
      </w:r>
      <w:proofErr w:type="gramEnd"/>
      <w:r w:rsidRPr="000D0BDD">
        <w:rPr>
          <w:rFonts w:cstheme="minorHAnsi"/>
        </w:rPr>
        <w:t xml:space="preserve"> however specific initial testing procedures are yet to be communicated.</w:t>
      </w:r>
    </w:p>
    <w:p w14:paraId="09C1AE5F" w14:textId="77777777" w:rsidR="006F0F62" w:rsidRPr="00A71BDE" w:rsidRDefault="00B041D5" w:rsidP="00B041D5">
      <w:pPr>
        <w:rPr>
          <w:rFonts w:cstheme="minorHAnsi"/>
          <w:b/>
          <w:color w:val="0070C0"/>
          <w:sz w:val="24"/>
        </w:rPr>
      </w:pPr>
      <w:r w:rsidRPr="00A71BDE">
        <w:rPr>
          <w:rFonts w:cstheme="minorHAnsi"/>
          <w:b/>
          <w:color w:val="0070C0"/>
          <w:sz w:val="24"/>
        </w:rPr>
        <w:t xml:space="preserve">When will testing be offered? </w:t>
      </w:r>
    </w:p>
    <w:p w14:paraId="664B283C" w14:textId="4AD4FD04" w:rsidR="00B041D5" w:rsidRPr="00A71BDE" w:rsidRDefault="00800912" w:rsidP="00B041D5">
      <w:pPr>
        <w:rPr>
          <w:rFonts w:cstheme="minorHAnsi"/>
          <w:b/>
        </w:rPr>
      </w:pPr>
      <w:r w:rsidRPr="00A71BDE">
        <w:rPr>
          <w:rFonts w:eastAsia="Times New Roman" w:cstheme="minorHAnsi"/>
          <w:color w:val="212121"/>
          <w:sz w:val="21"/>
          <w:szCs w:val="21"/>
        </w:rPr>
        <w:t xml:space="preserve">There are several more steps in the process before </w:t>
      </w:r>
      <w:proofErr w:type="spellStart"/>
      <w:r w:rsidR="005F0882">
        <w:rPr>
          <w:rFonts w:eastAsia="Times New Roman" w:cstheme="minorHAnsi"/>
          <w:color w:val="212121"/>
          <w:sz w:val="21"/>
          <w:szCs w:val="21"/>
        </w:rPr>
        <w:t>Sapropterin</w:t>
      </w:r>
      <w:proofErr w:type="spellEnd"/>
      <w:r w:rsidRPr="00A71BDE">
        <w:rPr>
          <w:rFonts w:eastAsia="Times New Roman" w:cstheme="minorHAnsi"/>
          <w:color w:val="212121"/>
          <w:sz w:val="21"/>
          <w:szCs w:val="21"/>
        </w:rPr>
        <w:t xml:space="preserve"> is listed on the PBS.  The PBAC website indicates that the minimum time frame for the completion of these processes is 5 </w:t>
      </w:r>
      <w:r w:rsidRPr="000D0BDD">
        <w:rPr>
          <w:rFonts w:eastAsia="Times New Roman" w:cstheme="minorHAnsi"/>
          <w:color w:val="212121"/>
          <w:sz w:val="21"/>
          <w:szCs w:val="21"/>
        </w:rPr>
        <w:t>months</w:t>
      </w:r>
      <w:r w:rsidR="00A71BDE" w:rsidRPr="000D0BDD">
        <w:rPr>
          <w:rFonts w:eastAsia="Times New Roman" w:cstheme="minorHAnsi"/>
          <w:color w:val="212121"/>
          <w:sz w:val="21"/>
          <w:szCs w:val="21"/>
        </w:rPr>
        <w:t>. Further information will be provided by MDDA and clinicians once the details around testing timeframes has been determined.</w:t>
      </w:r>
    </w:p>
    <w:p w14:paraId="6C5368B3" w14:textId="77777777" w:rsidR="006F0F62" w:rsidRPr="00A71BDE" w:rsidRDefault="000705CD" w:rsidP="006F0F62">
      <w:pPr>
        <w:pStyle w:val="Default"/>
        <w:rPr>
          <w:rFonts w:asciiTheme="minorHAnsi" w:hAnsiTheme="minorHAnsi" w:cstheme="minorHAnsi"/>
          <w:b/>
          <w:color w:val="0070C0"/>
          <w:szCs w:val="22"/>
        </w:rPr>
      </w:pPr>
      <w:r w:rsidRPr="00A71BDE">
        <w:rPr>
          <w:rFonts w:asciiTheme="minorHAnsi" w:hAnsiTheme="minorHAnsi" w:cstheme="minorHAnsi"/>
          <w:b/>
          <w:color w:val="0070C0"/>
          <w:szCs w:val="22"/>
        </w:rPr>
        <w:t xml:space="preserve">More Information </w:t>
      </w:r>
    </w:p>
    <w:p w14:paraId="56E4923D" w14:textId="77777777" w:rsidR="000705CD" w:rsidRPr="00A71BDE" w:rsidRDefault="000705CD" w:rsidP="006F0F62">
      <w:pPr>
        <w:pStyle w:val="Default"/>
        <w:rPr>
          <w:rFonts w:asciiTheme="minorHAnsi" w:hAnsiTheme="minorHAnsi" w:cstheme="minorHAnsi"/>
          <w:b/>
          <w:color w:val="0070C0"/>
          <w:szCs w:val="22"/>
        </w:rPr>
      </w:pPr>
    </w:p>
    <w:p w14:paraId="19CB07B4" w14:textId="77777777" w:rsidR="00A71BDE" w:rsidRDefault="00911BB9" w:rsidP="006F0F62">
      <w:pPr>
        <w:pStyle w:val="Default"/>
        <w:rPr>
          <w:rFonts w:asciiTheme="minorHAnsi" w:eastAsia="Times New Roman" w:hAnsiTheme="minorHAnsi" w:cstheme="minorHAnsi"/>
          <w:color w:val="212121"/>
          <w:sz w:val="21"/>
          <w:szCs w:val="21"/>
        </w:rPr>
      </w:pPr>
      <w:r w:rsidRPr="00A71BDE">
        <w:rPr>
          <w:rFonts w:asciiTheme="minorHAnsi" w:eastAsia="Times New Roman" w:hAnsiTheme="minorHAnsi" w:cstheme="minorHAnsi"/>
          <w:color w:val="212121"/>
          <w:sz w:val="21"/>
          <w:szCs w:val="21"/>
        </w:rPr>
        <w:t xml:space="preserve">If you would like to be kept informed about the </w:t>
      </w:r>
      <w:r w:rsidR="00517D98" w:rsidRPr="00A71BDE">
        <w:rPr>
          <w:rFonts w:asciiTheme="minorHAnsi" w:eastAsia="Times New Roman" w:hAnsiTheme="minorHAnsi" w:cstheme="minorHAnsi"/>
          <w:color w:val="212121"/>
          <w:sz w:val="21"/>
          <w:szCs w:val="21"/>
        </w:rPr>
        <w:t xml:space="preserve">latest updates and </w:t>
      </w:r>
      <w:r w:rsidRPr="00A71BDE">
        <w:rPr>
          <w:rFonts w:asciiTheme="minorHAnsi" w:eastAsia="Times New Roman" w:hAnsiTheme="minorHAnsi" w:cstheme="minorHAnsi"/>
          <w:color w:val="212121"/>
          <w:sz w:val="21"/>
          <w:szCs w:val="21"/>
        </w:rPr>
        <w:t>next steps with testing as they become known please ensure your contact details are up to date with MDDA</w:t>
      </w:r>
      <w:r w:rsidR="0038132A" w:rsidRPr="00A71BDE">
        <w:rPr>
          <w:rFonts w:asciiTheme="minorHAnsi" w:eastAsia="Times New Roman" w:hAnsiTheme="minorHAnsi" w:cstheme="minorHAnsi"/>
          <w:color w:val="212121"/>
          <w:sz w:val="21"/>
          <w:szCs w:val="21"/>
        </w:rPr>
        <w:t xml:space="preserve"> and follow our </w:t>
      </w:r>
      <w:r w:rsidR="000705CD" w:rsidRPr="00A71BDE">
        <w:rPr>
          <w:rFonts w:asciiTheme="minorHAnsi" w:eastAsia="Times New Roman" w:hAnsiTheme="minorHAnsi" w:cstheme="minorHAnsi"/>
          <w:color w:val="212121"/>
          <w:sz w:val="21"/>
          <w:szCs w:val="21"/>
        </w:rPr>
        <w:t xml:space="preserve">website and </w:t>
      </w:r>
      <w:r w:rsidRPr="00A71BDE">
        <w:rPr>
          <w:rFonts w:asciiTheme="minorHAnsi" w:eastAsia="Times New Roman" w:hAnsiTheme="minorHAnsi" w:cstheme="minorHAnsi"/>
          <w:color w:val="212121"/>
          <w:sz w:val="21"/>
          <w:szCs w:val="21"/>
        </w:rPr>
        <w:t>F</w:t>
      </w:r>
      <w:r w:rsidR="000705CD" w:rsidRPr="00A71BDE">
        <w:rPr>
          <w:rFonts w:asciiTheme="minorHAnsi" w:eastAsia="Times New Roman" w:hAnsiTheme="minorHAnsi" w:cstheme="minorHAnsi"/>
          <w:color w:val="212121"/>
          <w:sz w:val="21"/>
          <w:szCs w:val="21"/>
        </w:rPr>
        <w:t>acebook</w:t>
      </w:r>
      <w:r w:rsidRPr="00A71BDE">
        <w:rPr>
          <w:rFonts w:asciiTheme="minorHAnsi" w:eastAsia="Times New Roman" w:hAnsiTheme="minorHAnsi" w:cstheme="minorHAnsi"/>
          <w:color w:val="212121"/>
          <w:sz w:val="21"/>
          <w:szCs w:val="21"/>
        </w:rPr>
        <w:t xml:space="preserve">. </w:t>
      </w:r>
      <w:r w:rsidR="000705CD" w:rsidRPr="00A71BDE">
        <w:rPr>
          <w:rFonts w:asciiTheme="minorHAnsi" w:eastAsia="Times New Roman" w:hAnsiTheme="minorHAnsi" w:cstheme="minorHAnsi"/>
          <w:color w:val="212121"/>
          <w:sz w:val="21"/>
          <w:szCs w:val="21"/>
        </w:rPr>
        <w:t xml:space="preserve"> </w:t>
      </w:r>
    </w:p>
    <w:p w14:paraId="1CF33A31" w14:textId="77777777" w:rsidR="00A71BDE" w:rsidRDefault="00A71BDE" w:rsidP="006F0F62">
      <w:pPr>
        <w:pStyle w:val="Default"/>
        <w:rPr>
          <w:rFonts w:asciiTheme="minorHAnsi" w:eastAsia="Times New Roman" w:hAnsiTheme="minorHAnsi" w:cstheme="minorHAnsi"/>
          <w:b/>
          <w:color w:val="212121"/>
          <w:sz w:val="21"/>
          <w:szCs w:val="21"/>
        </w:rPr>
      </w:pPr>
    </w:p>
    <w:p w14:paraId="3A0C2D50" w14:textId="77777777" w:rsidR="000705CD" w:rsidRPr="00A71BDE" w:rsidRDefault="0038132A" w:rsidP="006F0F62">
      <w:pPr>
        <w:pStyle w:val="Default"/>
        <w:rPr>
          <w:rFonts w:asciiTheme="minorHAnsi" w:eastAsia="Times New Roman" w:hAnsiTheme="minorHAnsi" w:cstheme="minorHAnsi"/>
          <w:color w:val="212121"/>
          <w:sz w:val="21"/>
          <w:szCs w:val="21"/>
        </w:rPr>
      </w:pPr>
      <w:r w:rsidRPr="00A71BDE">
        <w:rPr>
          <w:rFonts w:asciiTheme="minorHAnsi" w:eastAsia="Times New Roman" w:hAnsiTheme="minorHAnsi" w:cstheme="minorHAnsi"/>
          <w:b/>
          <w:color w:val="212121"/>
          <w:sz w:val="21"/>
          <w:szCs w:val="21"/>
        </w:rPr>
        <w:t xml:space="preserve">The ASIEM Clinical Guideline Document “BH4 In the Management of Phenylketonuria” can be found </w:t>
      </w:r>
      <w:hyperlink r:id="rId7" w:history="1">
        <w:r w:rsidR="00A71BDE" w:rsidRPr="00A71BDE">
          <w:rPr>
            <w:rStyle w:val="Hyperlink"/>
            <w:rFonts w:asciiTheme="minorHAnsi" w:eastAsia="Times New Roman" w:hAnsiTheme="minorHAnsi" w:cstheme="minorHAnsi"/>
            <w:b/>
            <w:sz w:val="21"/>
            <w:szCs w:val="21"/>
          </w:rPr>
          <w:t>here</w:t>
        </w:r>
      </w:hyperlink>
      <w:r w:rsidR="00A71BDE" w:rsidRPr="00A71BDE">
        <w:rPr>
          <w:rFonts w:asciiTheme="minorHAnsi" w:eastAsia="Times New Roman" w:hAnsiTheme="minorHAnsi" w:cstheme="minorHAnsi"/>
          <w:b/>
          <w:color w:val="212121"/>
          <w:sz w:val="21"/>
          <w:szCs w:val="21"/>
        </w:rPr>
        <w:t xml:space="preserve">. </w:t>
      </w:r>
    </w:p>
    <w:p w14:paraId="003322CB" w14:textId="77777777" w:rsidR="0038132A" w:rsidRPr="00A71BDE" w:rsidRDefault="0038132A" w:rsidP="00800912">
      <w:pPr>
        <w:jc w:val="both"/>
        <w:rPr>
          <w:rFonts w:cstheme="minorHAnsi"/>
          <w:i/>
        </w:rPr>
      </w:pPr>
    </w:p>
    <w:p w14:paraId="44CA7939" w14:textId="1D17E4B7" w:rsidR="006F0F62" w:rsidRPr="00A71BDE" w:rsidRDefault="00B041D5" w:rsidP="00A71BDE">
      <w:pPr>
        <w:rPr>
          <w:rFonts w:cstheme="minorHAnsi"/>
          <w:i/>
        </w:rPr>
      </w:pPr>
      <w:r w:rsidRPr="00A71BDE">
        <w:rPr>
          <w:rFonts w:cstheme="minorHAnsi"/>
          <w:i/>
        </w:rPr>
        <w:t xml:space="preserve">MDDA strongly support </w:t>
      </w:r>
      <w:r w:rsidR="00800912" w:rsidRPr="00A71BDE">
        <w:rPr>
          <w:rFonts w:cstheme="minorHAnsi"/>
          <w:i/>
        </w:rPr>
        <w:t xml:space="preserve">the </w:t>
      </w:r>
      <w:r w:rsidR="000705CD" w:rsidRPr="00A71BDE">
        <w:rPr>
          <w:rFonts w:cstheme="minorHAnsi"/>
          <w:i/>
        </w:rPr>
        <w:t xml:space="preserve">PBAC </w:t>
      </w:r>
      <w:r w:rsidR="00800912" w:rsidRPr="00A71BDE">
        <w:rPr>
          <w:rFonts w:cstheme="minorHAnsi"/>
          <w:i/>
        </w:rPr>
        <w:t xml:space="preserve">recommendation </w:t>
      </w:r>
      <w:r w:rsidRPr="00A71BDE">
        <w:rPr>
          <w:rFonts w:cstheme="minorHAnsi"/>
          <w:i/>
        </w:rPr>
        <w:t>and w</w:t>
      </w:r>
      <w:r w:rsidR="008F7A39" w:rsidRPr="00A71BDE">
        <w:rPr>
          <w:rFonts w:cstheme="minorHAnsi"/>
          <w:i/>
        </w:rPr>
        <w:t xml:space="preserve">hile it is well-understood within the PKU community that </w:t>
      </w:r>
      <w:proofErr w:type="spellStart"/>
      <w:r w:rsidR="005F0882">
        <w:rPr>
          <w:rFonts w:cstheme="minorHAnsi"/>
          <w:i/>
        </w:rPr>
        <w:t>Sapropterin</w:t>
      </w:r>
      <w:proofErr w:type="spellEnd"/>
      <w:r w:rsidR="008F7A39" w:rsidRPr="00A71BDE">
        <w:rPr>
          <w:rFonts w:cstheme="minorHAnsi"/>
          <w:i/>
        </w:rPr>
        <w:t xml:space="preserve"> does not benefit all PKU patients, MDDA </w:t>
      </w:r>
      <w:r w:rsidRPr="00A71BDE">
        <w:rPr>
          <w:rFonts w:cstheme="minorHAnsi"/>
          <w:i/>
        </w:rPr>
        <w:t xml:space="preserve">will continue to advocate to </w:t>
      </w:r>
      <w:r w:rsidR="008F7A39" w:rsidRPr="00A71BDE">
        <w:rPr>
          <w:rFonts w:cstheme="minorHAnsi"/>
          <w:i/>
        </w:rPr>
        <w:t xml:space="preserve">ensure </w:t>
      </w:r>
      <w:r w:rsidR="00800912" w:rsidRPr="00A71BDE">
        <w:rPr>
          <w:rFonts w:cstheme="minorHAnsi"/>
          <w:b/>
          <w:i/>
        </w:rPr>
        <w:t>ALL</w:t>
      </w:r>
      <w:r w:rsidR="008F7A39" w:rsidRPr="00A71BDE">
        <w:rPr>
          <w:rFonts w:cstheme="minorHAnsi"/>
          <w:i/>
        </w:rPr>
        <w:t xml:space="preserve"> patients who would benefit from Kuvan are able to access it. </w:t>
      </w:r>
      <w:bookmarkStart w:id="0" w:name="_GoBack"/>
      <w:bookmarkEnd w:id="0"/>
    </w:p>
    <w:sectPr w:rsidR="006F0F62" w:rsidRPr="00A71BDE" w:rsidSect="006252C0">
      <w:headerReference w:type="default" r:id="rId8"/>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467C" w14:textId="77777777" w:rsidR="00BD462D" w:rsidRDefault="00BD462D" w:rsidP="00B041D5">
      <w:pPr>
        <w:spacing w:after="0" w:line="240" w:lineRule="auto"/>
      </w:pPr>
      <w:r>
        <w:separator/>
      </w:r>
    </w:p>
  </w:endnote>
  <w:endnote w:type="continuationSeparator" w:id="0">
    <w:p w14:paraId="2864D5AF" w14:textId="77777777" w:rsidR="00BD462D" w:rsidRDefault="00BD462D" w:rsidP="00B0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9D0C" w14:textId="77777777" w:rsidR="00517D98" w:rsidRDefault="00517D98" w:rsidP="00517D98">
    <w:pPr>
      <w:tabs>
        <w:tab w:val="center" w:pos="4513"/>
        <w:tab w:val="right" w:pos="9026"/>
      </w:tabs>
      <w:spacing w:after="0" w:line="240" w:lineRule="auto"/>
      <w:jc w:val="center"/>
      <w:rPr>
        <w:i/>
        <w:color w:val="7F7F7F" w:themeColor="text1" w:themeTint="80"/>
        <w:sz w:val="20"/>
        <w:szCs w:val="20"/>
      </w:rPr>
    </w:pPr>
  </w:p>
  <w:p w14:paraId="7D3DD82E" w14:textId="77777777" w:rsidR="00517D98" w:rsidRDefault="00517D98" w:rsidP="00517D98">
    <w:pPr>
      <w:tabs>
        <w:tab w:val="center" w:pos="4513"/>
        <w:tab w:val="right" w:pos="9026"/>
      </w:tabs>
      <w:spacing w:after="0" w:line="240" w:lineRule="auto"/>
      <w:jc w:val="center"/>
      <w:rPr>
        <w:i/>
        <w:color w:val="7F7F7F" w:themeColor="text1" w:themeTint="80"/>
        <w:sz w:val="20"/>
        <w:szCs w:val="20"/>
      </w:rPr>
    </w:pPr>
  </w:p>
  <w:p w14:paraId="489B629C" w14:textId="77777777" w:rsidR="00517D98" w:rsidRPr="00517D98" w:rsidRDefault="00517D98" w:rsidP="00517D98">
    <w:pPr>
      <w:tabs>
        <w:tab w:val="center" w:pos="4513"/>
        <w:tab w:val="right" w:pos="9026"/>
      </w:tabs>
      <w:spacing w:after="0" w:line="240" w:lineRule="auto"/>
      <w:jc w:val="center"/>
      <w:rPr>
        <w:color w:val="7F7F7F" w:themeColor="text1" w:themeTint="80"/>
        <w:sz w:val="16"/>
        <w:szCs w:val="16"/>
      </w:rPr>
    </w:pPr>
    <w:r w:rsidRPr="00517D98">
      <w:rPr>
        <w:i/>
        <w:color w:val="7F7F7F" w:themeColor="text1" w:themeTint="80"/>
        <w:sz w:val="16"/>
        <w:szCs w:val="16"/>
      </w:rPr>
      <w:t>Office</w:t>
    </w:r>
    <w:r w:rsidRPr="00517D98">
      <w:rPr>
        <w:color w:val="7F7F7F" w:themeColor="text1" w:themeTint="80"/>
        <w:sz w:val="16"/>
        <w:szCs w:val="16"/>
      </w:rPr>
      <w:t xml:space="preserve">: Suite 4, 6 Thomas Brew Lane Croydon VIC </w:t>
    </w:r>
    <w:proofErr w:type="gramStart"/>
    <w:r w:rsidRPr="00517D98">
      <w:rPr>
        <w:color w:val="7F7F7F" w:themeColor="text1" w:themeTint="80"/>
        <w:sz w:val="16"/>
        <w:szCs w:val="16"/>
      </w:rPr>
      <w:t xml:space="preserve">3136  </w:t>
    </w:r>
    <w:r w:rsidRPr="00517D98">
      <w:rPr>
        <w:i/>
        <w:color w:val="7F7F7F" w:themeColor="text1" w:themeTint="80"/>
        <w:sz w:val="16"/>
        <w:szCs w:val="16"/>
      </w:rPr>
      <w:t>Postal</w:t>
    </w:r>
    <w:proofErr w:type="gramEnd"/>
    <w:r w:rsidRPr="00517D98">
      <w:rPr>
        <w:i/>
        <w:color w:val="7F7F7F" w:themeColor="text1" w:themeTint="80"/>
        <w:sz w:val="16"/>
        <w:szCs w:val="16"/>
      </w:rPr>
      <w:t>:</w:t>
    </w:r>
    <w:r w:rsidRPr="00517D98">
      <w:rPr>
        <w:color w:val="7F7F7F" w:themeColor="text1" w:themeTint="80"/>
        <w:sz w:val="16"/>
        <w:szCs w:val="16"/>
      </w:rPr>
      <w:t xml:space="preserve"> PO Box 33 Montrose VIC 3765</w:t>
    </w:r>
  </w:p>
  <w:p w14:paraId="0C22C4EE" w14:textId="77777777" w:rsidR="00517D98" w:rsidRPr="00517D98" w:rsidRDefault="00517D98" w:rsidP="00517D98">
    <w:pPr>
      <w:tabs>
        <w:tab w:val="center" w:pos="4513"/>
        <w:tab w:val="right" w:pos="9026"/>
      </w:tabs>
      <w:spacing w:after="0" w:line="240" w:lineRule="auto"/>
      <w:jc w:val="center"/>
      <w:rPr>
        <w:color w:val="7F7F7F" w:themeColor="text1" w:themeTint="80"/>
        <w:sz w:val="16"/>
        <w:szCs w:val="16"/>
      </w:rPr>
    </w:pPr>
    <w:r w:rsidRPr="00517D98">
      <w:rPr>
        <w:i/>
        <w:color w:val="7F7F7F" w:themeColor="text1" w:themeTint="80"/>
        <w:sz w:val="16"/>
        <w:szCs w:val="16"/>
      </w:rPr>
      <w:t>Phone:</w:t>
    </w:r>
    <w:r w:rsidRPr="00517D98">
      <w:rPr>
        <w:color w:val="7F7F7F" w:themeColor="text1" w:themeTint="80"/>
        <w:sz w:val="16"/>
        <w:szCs w:val="16"/>
      </w:rPr>
      <w:t xml:space="preserve"> 03 9723 0600 </w:t>
    </w:r>
    <w:proofErr w:type="spellStart"/>
    <w:r w:rsidRPr="00517D98">
      <w:rPr>
        <w:i/>
        <w:color w:val="7F7F7F" w:themeColor="text1" w:themeTint="80"/>
        <w:sz w:val="16"/>
        <w:szCs w:val="16"/>
      </w:rPr>
      <w:t>Freecall</w:t>
    </w:r>
    <w:proofErr w:type="spellEnd"/>
    <w:r w:rsidRPr="00517D98">
      <w:rPr>
        <w:i/>
        <w:color w:val="7F7F7F" w:themeColor="text1" w:themeTint="80"/>
        <w:sz w:val="16"/>
        <w:szCs w:val="16"/>
      </w:rPr>
      <w:t>:</w:t>
    </w:r>
    <w:r w:rsidRPr="00517D98">
      <w:rPr>
        <w:color w:val="7F7F7F" w:themeColor="text1" w:themeTint="80"/>
        <w:sz w:val="16"/>
        <w:szCs w:val="16"/>
      </w:rPr>
      <w:t xml:space="preserve"> 1800 288 460 </w:t>
    </w:r>
    <w:r w:rsidRPr="00517D98">
      <w:rPr>
        <w:i/>
        <w:color w:val="7F7F7F" w:themeColor="text1" w:themeTint="80"/>
        <w:sz w:val="16"/>
        <w:szCs w:val="16"/>
      </w:rPr>
      <w:t>Email:</w:t>
    </w:r>
    <w:r w:rsidRPr="00517D98">
      <w:rPr>
        <w:color w:val="7F7F7F" w:themeColor="text1" w:themeTint="80"/>
        <w:sz w:val="16"/>
        <w:szCs w:val="16"/>
      </w:rPr>
      <w:t xml:space="preserve"> </w:t>
    </w:r>
    <w:hyperlink r:id="rId1" w:history="1">
      <w:r w:rsidRPr="00517D98">
        <w:rPr>
          <w:color w:val="7F7F7F" w:themeColor="text1" w:themeTint="80"/>
          <w:sz w:val="16"/>
          <w:szCs w:val="16"/>
        </w:rPr>
        <w:t>office@mdda.org.au</w:t>
      </w:r>
    </w:hyperlink>
    <w:r w:rsidRPr="00517D98">
      <w:rPr>
        <w:color w:val="7F7F7F" w:themeColor="text1" w:themeTint="80"/>
        <w:sz w:val="16"/>
        <w:szCs w:val="16"/>
      </w:rPr>
      <w:t xml:space="preserve"> </w:t>
    </w:r>
    <w:r w:rsidRPr="00517D98">
      <w:rPr>
        <w:i/>
        <w:color w:val="7F7F7F" w:themeColor="text1" w:themeTint="80"/>
        <w:sz w:val="16"/>
        <w:szCs w:val="16"/>
      </w:rPr>
      <w:t>Web:</w:t>
    </w:r>
    <w:r w:rsidRPr="00517D98">
      <w:rPr>
        <w:color w:val="7F7F7F" w:themeColor="text1" w:themeTint="80"/>
        <w:sz w:val="16"/>
        <w:szCs w:val="16"/>
      </w:rPr>
      <w:t xml:space="preserve"> </w:t>
    </w:r>
    <w:hyperlink r:id="rId2" w:history="1">
      <w:r w:rsidRPr="00517D98">
        <w:rPr>
          <w:color w:val="7F7F7F" w:themeColor="text1" w:themeTint="80"/>
          <w:sz w:val="16"/>
          <w:szCs w:val="16"/>
        </w:rPr>
        <w:t>www.mdda.org.au</w:t>
      </w:r>
    </w:hyperlink>
  </w:p>
  <w:p w14:paraId="2CE9922A" w14:textId="77777777" w:rsidR="00517D98" w:rsidRPr="00517D98" w:rsidRDefault="00517D98" w:rsidP="00517D98">
    <w:pPr>
      <w:tabs>
        <w:tab w:val="center" w:pos="4513"/>
        <w:tab w:val="right" w:pos="9026"/>
      </w:tabs>
      <w:spacing w:after="0" w:line="240" w:lineRule="auto"/>
      <w:jc w:val="center"/>
      <w:rPr>
        <w:color w:val="7F7F7F" w:themeColor="text1" w:themeTint="80"/>
        <w:sz w:val="16"/>
        <w:szCs w:val="16"/>
      </w:rPr>
    </w:pPr>
    <w:r w:rsidRPr="00517D98">
      <w:rPr>
        <w:i/>
        <w:color w:val="7F7F7F" w:themeColor="text1" w:themeTint="80"/>
        <w:sz w:val="16"/>
        <w:szCs w:val="16"/>
      </w:rPr>
      <w:t>An Incorporated Association</w:t>
    </w:r>
    <w:r w:rsidRPr="00517D98">
      <w:rPr>
        <w:color w:val="7F7F7F" w:themeColor="text1" w:themeTint="80"/>
        <w:sz w:val="16"/>
        <w:szCs w:val="16"/>
      </w:rPr>
      <w:t xml:space="preserve"> </w:t>
    </w:r>
    <w:r w:rsidRPr="00517D98">
      <w:rPr>
        <w:i/>
        <w:color w:val="7F7F7F" w:themeColor="text1" w:themeTint="80"/>
        <w:sz w:val="16"/>
        <w:szCs w:val="16"/>
      </w:rPr>
      <w:t xml:space="preserve">ABN: </w:t>
    </w:r>
    <w:r w:rsidRPr="00517D98">
      <w:rPr>
        <w:color w:val="7F7F7F" w:themeColor="text1" w:themeTint="80"/>
        <w:sz w:val="16"/>
        <w:szCs w:val="16"/>
      </w:rPr>
      <w:t xml:space="preserve">99 021 391 381 </w:t>
    </w:r>
    <w:r w:rsidRPr="00517D98">
      <w:rPr>
        <w:i/>
        <w:color w:val="7F7F7F" w:themeColor="text1" w:themeTint="80"/>
        <w:sz w:val="16"/>
        <w:szCs w:val="16"/>
      </w:rPr>
      <w:t>A Charitable Entity</w:t>
    </w:r>
    <w:r w:rsidRPr="00517D98">
      <w:rPr>
        <w:color w:val="7F7F7F" w:themeColor="text1" w:themeTint="80"/>
        <w:sz w:val="16"/>
        <w:szCs w:val="16"/>
      </w:rPr>
      <w:t xml:space="preserve"> A0038633W  </w:t>
    </w:r>
  </w:p>
  <w:p w14:paraId="17991579" w14:textId="77777777" w:rsidR="00517D98" w:rsidRPr="00517D98" w:rsidRDefault="00517D98" w:rsidP="00517D98">
    <w:pPr>
      <w:tabs>
        <w:tab w:val="center" w:pos="4513"/>
        <w:tab w:val="right" w:pos="9026"/>
      </w:tabs>
      <w:spacing w:after="0" w:line="240" w:lineRule="auto"/>
      <w:jc w:val="center"/>
      <w:rPr>
        <w:color w:val="7F7F7F" w:themeColor="text1" w:themeTint="80"/>
        <w:sz w:val="16"/>
        <w:szCs w:val="16"/>
      </w:rPr>
    </w:pPr>
    <w:r w:rsidRPr="00517D98">
      <w:rPr>
        <w:i/>
        <w:color w:val="7F7F7F" w:themeColor="text1" w:themeTint="80"/>
        <w:sz w:val="16"/>
        <w:szCs w:val="16"/>
      </w:rPr>
      <w:t>Donations over $2 are Tax Deductible</w:t>
    </w:r>
  </w:p>
  <w:p w14:paraId="66D98FFB" w14:textId="77777777" w:rsidR="000705CD" w:rsidRPr="00517D98" w:rsidRDefault="000705CD" w:rsidP="0051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0835" w14:textId="77777777" w:rsidR="00BD462D" w:rsidRDefault="00BD462D" w:rsidP="00B041D5">
      <w:pPr>
        <w:spacing w:after="0" w:line="240" w:lineRule="auto"/>
      </w:pPr>
      <w:r>
        <w:separator/>
      </w:r>
    </w:p>
  </w:footnote>
  <w:footnote w:type="continuationSeparator" w:id="0">
    <w:p w14:paraId="38ADAB80" w14:textId="77777777" w:rsidR="00BD462D" w:rsidRDefault="00BD462D" w:rsidP="00B0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E61D" w14:textId="2C5745B2" w:rsidR="00E67AD3" w:rsidRDefault="00E67AD3" w:rsidP="00E67AD3">
    <w:pPr>
      <w:jc w:val="center"/>
      <w:rPr>
        <w:sz w:val="24"/>
        <w:szCs w:val="40"/>
      </w:rPr>
    </w:pPr>
    <w:r>
      <w:rPr>
        <w:noProof/>
        <w:sz w:val="40"/>
        <w:szCs w:val="40"/>
      </w:rPr>
      <w:drawing>
        <wp:anchor distT="0" distB="0" distL="114300" distR="114300" simplePos="0" relativeHeight="251658240" behindDoc="0" locked="0" layoutInCell="1" allowOverlap="1" wp14:anchorId="731718E9" wp14:editId="58238925">
          <wp:simplePos x="0" y="0"/>
          <wp:positionH relativeFrom="column">
            <wp:posOffset>5172075</wp:posOffset>
          </wp:positionH>
          <wp:positionV relativeFrom="page">
            <wp:posOffset>161925</wp:posOffset>
          </wp:positionV>
          <wp:extent cx="1243330" cy="1022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DA_inline_web.png"/>
                  <pic:cNvPicPr/>
                </pic:nvPicPr>
                <pic:blipFill>
                  <a:blip r:embed="rId1">
                    <a:extLst>
                      <a:ext uri="{28A0092B-C50C-407E-A947-70E740481C1C}">
                        <a14:useLocalDpi xmlns:a14="http://schemas.microsoft.com/office/drawing/2010/main" val="0"/>
                      </a:ext>
                    </a:extLst>
                  </a:blip>
                  <a:stretch>
                    <a:fillRect/>
                  </a:stretch>
                </pic:blipFill>
                <pic:spPr>
                  <a:xfrm>
                    <a:off x="0" y="0"/>
                    <a:ext cx="1243330" cy="1022350"/>
                  </a:xfrm>
                  <a:prstGeom prst="rect">
                    <a:avLst/>
                  </a:prstGeom>
                </pic:spPr>
              </pic:pic>
            </a:graphicData>
          </a:graphic>
        </wp:anchor>
      </w:drawing>
    </w:r>
    <w:r w:rsidR="005F0882">
      <w:rPr>
        <w:noProof/>
        <w:sz w:val="40"/>
        <w:szCs w:val="40"/>
      </w:rPr>
      <w:t>Sapropterin</w:t>
    </w:r>
    <w:r w:rsidRPr="00B041D5">
      <w:rPr>
        <w:sz w:val="40"/>
        <w:szCs w:val="40"/>
      </w:rPr>
      <w:t xml:space="preserve"> – </w:t>
    </w:r>
    <w:r>
      <w:rPr>
        <w:sz w:val="40"/>
        <w:szCs w:val="40"/>
      </w:rPr>
      <w:t>Facts</w:t>
    </w:r>
    <w:r w:rsidRPr="00B041D5">
      <w:rPr>
        <w:sz w:val="40"/>
        <w:szCs w:val="40"/>
      </w:rPr>
      <w:t>heet</w:t>
    </w:r>
  </w:p>
  <w:p w14:paraId="0BAABA4F" w14:textId="77777777" w:rsidR="00B041D5" w:rsidRPr="00B041D5" w:rsidRDefault="006252C0" w:rsidP="00E67AD3">
    <w:pPr>
      <w:jc w:val="center"/>
      <w:rPr>
        <w:sz w:val="40"/>
        <w:szCs w:val="40"/>
      </w:rPr>
    </w:pPr>
    <w:r w:rsidRPr="006252C0">
      <w:rPr>
        <w:sz w:val="24"/>
        <w:szCs w:val="40"/>
      </w:rPr>
      <w:t xml:space="preserve">14 </w:t>
    </w:r>
    <w:r w:rsidR="00E67AD3" w:rsidRPr="006252C0">
      <w:rPr>
        <w:sz w:val="24"/>
        <w:szCs w:val="40"/>
      </w:rPr>
      <w:t>December</w:t>
    </w:r>
    <w:r w:rsidRPr="006252C0">
      <w:rPr>
        <w:sz w:val="24"/>
        <w:szCs w:val="40"/>
      </w:rPr>
      <w:t xml:space="preserve"> 2</w:t>
    </w:r>
    <w:r>
      <w:rPr>
        <w:sz w:val="24"/>
        <w:szCs w:val="40"/>
      </w:rPr>
      <w:t>0</w:t>
    </w:r>
    <w:r w:rsidRPr="006252C0">
      <w:rPr>
        <w:sz w:val="24"/>
        <w:szCs w:val="40"/>
      </w:rPr>
      <w:t>1</w:t>
    </w:r>
    <w:r>
      <w:rPr>
        <w:sz w:val="24"/>
        <w:szCs w:val="40"/>
      </w:rPr>
      <w:t>8</w:t>
    </w:r>
  </w:p>
  <w:p w14:paraId="2FBA1F06" w14:textId="77777777" w:rsidR="00B041D5" w:rsidRDefault="00B0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BA12B"/>
    <w:multiLevelType w:val="hybridMultilevel"/>
    <w:tmpl w:val="9B8AE6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E643CF"/>
    <w:multiLevelType w:val="hybridMultilevel"/>
    <w:tmpl w:val="8AD6AE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C1685C"/>
    <w:multiLevelType w:val="hybridMultilevel"/>
    <w:tmpl w:val="05D4D0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F38416"/>
    <w:multiLevelType w:val="hybridMultilevel"/>
    <w:tmpl w:val="9A2DF6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364FE6"/>
    <w:multiLevelType w:val="hybridMultilevel"/>
    <w:tmpl w:val="3C8FC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FB5AEC"/>
    <w:multiLevelType w:val="hybridMultilevel"/>
    <w:tmpl w:val="9D74E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567C37"/>
    <w:multiLevelType w:val="hybridMultilevel"/>
    <w:tmpl w:val="79FB8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0C282E"/>
    <w:multiLevelType w:val="hybridMultilevel"/>
    <w:tmpl w:val="B20EA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C773C8"/>
    <w:multiLevelType w:val="hybridMultilevel"/>
    <w:tmpl w:val="53437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15D350"/>
    <w:multiLevelType w:val="hybridMultilevel"/>
    <w:tmpl w:val="9B18B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58F127"/>
    <w:multiLevelType w:val="hybridMultilevel"/>
    <w:tmpl w:val="4EA8F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BF3A42"/>
    <w:multiLevelType w:val="hybridMultilevel"/>
    <w:tmpl w:val="3BA02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751C0F"/>
    <w:multiLevelType w:val="hybridMultilevel"/>
    <w:tmpl w:val="4A8E8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B76821"/>
    <w:multiLevelType w:val="hybridMultilevel"/>
    <w:tmpl w:val="AC1635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A0103C"/>
    <w:multiLevelType w:val="hybridMultilevel"/>
    <w:tmpl w:val="4A9E9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66A2791"/>
    <w:multiLevelType w:val="hybridMultilevel"/>
    <w:tmpl w:val="87C555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E292A37"/>
    <w:multiLevelType w:val="hybridMultilevel"/>
    <w:tmpl w:val="399DD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B24CE3"/>
    <w:multiLevelType w:val="hybridMultilevel"/>
    <w:tmpl w:val="647DEE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723B47"/>
    <w:multiLevelType w:val="hybridMultilevel"/>
    <w:tmpl w:val="E43C5D26"/>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B017E3"/>
    <w:multiLevelType w:val="hybridMultilevel"/>
    <w:tmpl w:val="3050F87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72EF1B4"/>
    <w:multiLevelType w:val="hybridMultilevel"/>
    <w:tmpl w:val="8159A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38A58D"/>
    <w:multiLevelType w:val="hybridMultilevel"/>
    <w:tmpl w:val="276D7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FB41FC"/>
    <w:multiLevelType w:val="hybridMultilevel"/>
    <w:tmpl w:val="65DDDC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E35F7D"/>
    <w:multiLevelType w:val="hybridMultilevel"/>
    <w:tmpl w:val="590BBB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903E59"/>
    <w:multiLevelType w:val="hybridMultilevel"/>
    <w:tmpl w:val="EC36A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7A658E"/>
    <w:multiLevelType w:val="hybridMultilevel"/>
    <w:tmpl w:val="F52A17F8"/>
    <w:lvl w:ilvl="0" w:tplc="78A60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48E271"/>
    <w:multiLevelType w:val="hybridMultilevel"/>
    <w:tmpl w:val="465467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FB3D31"/>
    <w:multiLevelType w:val="hybridMultilevel"/>
    <w:tmpl w:val="5C88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22"/>
  </w:num>
  <w:num w:numId="4">
    <w:abstractNumId w:val="26"/>
  </w:num>
  <w:num w:numId="5">
    <w:abstractNumId w:val="16"/>
  </w:num>
  <w:num w:numId="6">
    <w:abstractNumId w:val="9"/>
  </w:num>
  <w:num w:numId="7">
    <w:abstractNumId w:val="4"/>
  </w:num>
  <w:num w:numId="8">
    <w:abstractNumId w:val="3"/>
  </w:num>
  <w:num w:numId="9">
    <w:abstractNumId w:val="14"/>
  </w:num>
  <w:num w:numId="10">
    <w:abstractNumId w:val="2"/>
  </w:num>
  <w:num w:numId="11">
    <w:abstractNumId w:val="11"/>
  </w:num>
  <w:num w:numId="12">
    <w:abstractNumId w:val="15"/>
  </w:num>
  <w:num w:numId="13">
    <w:abstractNumId w:val="5"/>
  </w:num>
  <w:num w:numId="14">
    <w:abstractNumId w:val="6"/>
  </w:num>
  <w:num w:numId="15">
    <w:abstractNumId w:val="0"/>
  </w:num>
  <w:num w:numId="16">
    <w:abstractNumId w:val="23"/>
  </w:num>
  <w:num w:numId="17">
    <w:abstractNumId w:val="1"/>
  </w:num>
  <w:num w:numId="18">
    <w:abstractNumId w:val="20"/>
  </w:num>
  <w:num w:numId="19">
    <w:abstractNumId w:val="17"/>
  </w:num>
  <w:num w:numId="20">
    <w:abstractNumId w:val="10"/>
  </w:num>
  <w:num w:numId="21">
    <w:abstractNumId w:val="24"/>
  </w:num>
  <w:num w:numId="22">
    <w:abstractNumId w:val="8"/>
  </w:num>
  <w:num w:numId="23">
    <w:abstractNumId w:val="7"/>
  </w:num>
  <w:num w:numId="24">
    <w:abstractNumId w:val="18"/>
  </w:num>
  <w:num w:numId="25">
    <w:abstractNumId w:val="13"/>
  </w:num>
  <w:num w:numId="26">
    <w:abstractNumId w:val="19"/>
  </w:num>
  <w:num w:numId="27">
    <w:abstractNumId w:val="25"/>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A"/>
    <w:rsid w:val="000652F1"/>
    <w:rsid w:val="000705CD"/>
    <w:rsid w:val="000D0BDD"/>
    <w:rsid w:val="001D1C23"/>
    <w:rsid w:val="001D4947"/>
    <w:rsid w:val="001D77D5"/>
    <w:rsid w:val="00235535"/>
    <w:rsid w:val="00240F85"/>
    <w:rsid w:val="00340430"/>
    <w:rsid w:val="0038132A"/>
    <w:rsid w:val="003814BB"/>
    <w:rsid w:val="00392428"/>
    <w:rsid w:val="003B6098"/>
    <w:rsid w:val="00517D98"/>
    <w:rsid w:val="005300A2"/>
    <w:rsid w:val="005F0882"/>
    <w:rsid w:val="006252C0"/>
    <w:rsid w:val="006F0F62"/>
    <w:rsid w:val="007A6F4E"/>
    <w:rsid w:val="00800912"/>
    <w:rsid w:val="008028E3"/>
    <w:rsid w:val="00810EFC"/>
    <w:rsid w:val="008F7A39"/>
    <w:rsid w:val="00911BB9"/>
    <w:rsid w:val="009201D1"/>
    <w:rsid w:val="00A672EB"/>
    <w:rsid w:val="00A71BDE"/>
    <w:rsid w:val="00AC0431"/>
    <w:rsid w:val="00B041D5"/>
    <w:rsid w:val="00BD462D"/>
    <w:rsid w:val="00C62309"/>
    <w:rsid w:val="00C64AE6"/>
    <w:rsid w:val="00C7071F"/>
    <w:rsid w:val="00CB1702"/>
    <w:rsid w:val="00CB24B5"/>
    <w:rsid w:val="00D0639D"/>
    <w:rsid w:val="00D82840"/>
    <w:rsid w:val="00D83152"/>
    <w:rsid w:val="00E1270A"/>
    <w:rsid w:val="00E4451B"/>
    <w:rsid w:val="00E67AD3"/>
    <w:rsid w:val="00E97A9C"/>
    <w:rsid w:val="00ED13E9"/>
    <w:rsid w:val="00F250B6"/>
    <w:rsid w:val="00F57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BDC1"/>
  <w15:chartTrackingRefBased/>
  <w15:docId w15:val="{A6CDA7F4-3D59-456F-B4EA-32740A2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F62"/>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0E5"/>
    <w:rPr>
      <w:b/>
      <w:bCs/>
    </w:rPr>
  </w:style>
  <w:style w:type="character" w:customStyle="1" w:styleId="Heading1Char">
    <w:name w:val="Heading 1 Char"/>
    <w:basedOn w:val="DefaultParagraphFont"/>
    <w:link w:val="Heading1"/>
    <w:uiPriority w:val="9"/>
    <w:rsid w:val="006F0F62"/>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6F0F62"/>
    <w:rPr>
      <w:color w:val="0000FF"/>
      <w:u w:val="single"/>
    </w:rPr>
  </w:style>
  <w:style w:type="paragraph" w:styleId="ListParagraph">
    <w:name w:val="List Paragraph"/>
    <w:basedOn w:val="Normal"/>
    <w:uiPriority w:val="34"/>
    <w:qFormat/>
    <w:rsid w:val="006F0F62"/>
    <w:pPr>
      <w:spacing w:after="0" w:line="240" w:lineRule="auto"/>
      <w:ind w:left="720"/>
      <w:contextualSpacing/>
    </w:pPr>
    <w:rPr>
      <w:rFonts w:eastAsiaTheme="minorEastAsia"/>
      <w:sz w:val="24"/>
      <w:szCs w:val="24"/>
    </w:rPr>
  </w:style>
  <w:style w:type="paragraph" w:customStyle="1" w:styleId="Default">
    <w:name w:val="Default"/>
    <w:rsid w:val="006F0F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04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1D5"/>
  </w:style>
  <w:style w:type="paragraph" w:styleId="Footer">
    <w:name w:val="footer"/>
    <w:basedOn w:val="Normal"/>
    <w:link w:val="FooterChar"/>
    <w:uiPriority w:val="99"/>
    <w:unhideWhenUsed/>
    <w:rsid w:val="00B04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1D5"/>
  </w:style>
  <w:style w:type="character" w:styleId="UnresolvedMention">
    <w:name w:val="Unresolved Mention"/>
    <w:basedOn w:val="DefaultParagraphFont"/>
    <w:uiPriority w:val="99"/>
    <w:semiHidden/>
    <w:unhideWhenUsed/>
    <w:rsid w:val="00381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dda.org.au/wp-content/uploads/2017/10/Australasian-BH4-Guidelines-Document-ASIEM-Endorsed-06.09.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dda.org.au" TargetMode="External"/><Relationship Id="rId1" Type="http://schemas.openxmlformats.org/officeDocument/2006/relationships/hyperlink" Target="mailto:office@mdd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Briant</dc:creator>
  <cp:keywords/>
  <dc:description/>
  <cp:lastModifiedBy>Isabella Hendricks</cp:lastModifiedBy>
  <cp:revision>4</cp:revision>
  <dcterms:created xsi:type="dcterms:W3CDTF">2018-12-13T03:47:00Z</dcterms:created>
  <dcterms:modified xsi:type="dcterms:W3CDTF">2019-07-02T02:33:00Z</dcterms:modified>
</cp:coreProperties>
</file>